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Shedd 1</w:t>
      </w:r>
    </w:p>
    <w:p w:rsidR="00000000" w:rsidDel="00000000" w:rsidP="00000000" w:rsidRDefault="00000000" w:rsidRPr="00000000">
      <w:pPr>
        <w:pBdr/>
        <w:spacing w:line="480" w:lineRule="auto"/>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Hayden Shedd</w:t>
      </w:r>
    </w:p>
    <w:p w:rsidR="00000000" w:rsidDel="00000000" w:rsidP="00000000" w:rsidRDefault="00000000" w:rsidRPr="00000000">
      <w:pPr>
        <w:pBdr/>
        <w:spacing w:line="480" w:lineRule="auto"/>
        <w:ind w:left="-90" w:right="81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Killingsworth</w:t>
      </w:r>
    </w:p>
    <w:p w:rsidR="00000000" w:rsidDel="00000000" w:rsidP="00000000" w:rsidRDefault="00000000" w:rsidRPr="00000000">
      <w:pPr>
        <w:pBdr/>
        <w:spacing w:line="480" w:lineRule="auto"/>
        <w:ind w:left="-90" w:right="81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Mentor Ship</w:t>
      </w:r>
    </w:p>
    <w:p w:rsidR="00000000" w:rsidDel="00000000" w:rsidP="00000000" w:rsidRDefault="00000000" w:rsidRPr="00000000">
      <w:pPr>
        <w:pBdr/>
        <w:spacing w:line="480" w:lineRule="auto"/>
        <w:ind w:left="-90" w:right="81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February 2017</w:t>
      </w:r>
    </w:p>
    <w:p w:rsidR="00000000" w:rsidDel="00000000" w:rsidP="00000000" w:rsidRDefault="00000000" w:rsidRPr="00000000">
      <w:pPr>
        <w:pBdr/>
        <w:spacing w:line="480" w:lineRule="auto"/>
        <w:ind w:right="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 and the Youth</w:t>
      </w:r>
    </w:p>
    <w:p w:rsidR="00000000" w:rsidDel="00000000" w:rsidP="00000000" w:rsidRDefault="00000000" w:rsidRPr="00000000">
      <w:pPr>
        <w:pBdr/>
        <w:spacing w:line="48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Engineering, it is the field of marvels and accomplishments from the wheel to the car to the rocket that landed man on the moon. Without it mankind would still be no better off that the wild animals outside. It is something that set us apart from other creatures on Earth. If engineering did so much then why are is it that “engineering is unattractive to the top boys in the science”? (Pippard 1).</w:t>
      </w:r>
    </w:p>
    <w:p w:rsidR="00000000" w:rsidDel="00000000" w:rsidP="00000000" w:rsidRDefault="00000000" w:rsidRPr="00000000">
      <w:pPr>
        <w:pBdr/>
        <w:spacing w:line="48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Engineering has allowed us to achieve remarkable results at an incredible rate. It is also one of the hardest fields to become successful in, which could be the case of why so many people steer away from its course. However, “engineering will give them the scope, the satisfaction and the rewards they have a right to expect” which entails that the hard work and dedication the students put in will pay off in the long run, even if they don’t become engineers. (Pippard 5). This field is not only a course that teaches them to solve everyday problems, it changes the way students and other engineers approach problems. From everyday task such as fitting as many dishes in the dishwasher to creating the cure for deadly diseases, engineering teaches the students how to approach the problem to achieve better results. </w:t>
      </w:r>
    </w:p>
    <w:p w:rsidR="00000000" w:rsidDel="00000000" w:rsidP="00000000" w:rsidRDefault="00000000" w:rsidRPr="00000000">
      <w:pPr>
        <w:pBdr/>
        <w:spacing w:line="48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Engineering not only benefits those who are willing to engage in this rigorous field, but also helps students who also don’t want to become engineers by teaching them valuable problem solving skills, and to work under pressure which is essential in almost every job. For these reasons we need to draw more attention to this valuable class and recruit more students to engage in engineering courses.</w:t>
      </w:r>
    </w:p>
    <w:p w:rsidR="00000000" w:rsidDel="00000000" w:rsidP="00000000" w:rsidRDefault="00000000" w:rsidRPr="00000000">
      <w:pPr>
        <w:pBdr/>
        <w:spacing w:line="480" w:lineRule="auto"/>
        <w:ind w:left="0" w:right="0" w:firstLine="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Shedd 2</w:t>
      </w:r>
    </w:p>
    <w:p w:rsidR="00000000" w:rsidDel="00000000" w:rsidP="00000000" w:rsidRDefault="00000000" w:rsidRPr="00000000">
      <w:pPr>
        <w:pBdr/>
        <w:spacing w:line="48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r w:rsidDel="00000000" w:rsidR="00000000" w:rsidRPr="00000000">
        <w:rPr>
          <w:rFonts w:ascii="Times New Roman" w:cs="Times New Roman" w:eastAsia="Times New Roman" w:hAnsi="Times New Roman"/>
          <w:sz w:val="24"/>
          <w:szCs w:val="24"/>
          <w:rtl w:val="0"/>
        </w:rPr>
        <w:t xml:space="preserve">Pippard, Professor A. J. </w:t>
      </w:r>
      <w:r w:rsidDel="00000000" w:rsidR="00000000" w:rsidRPr="00000000">
        <w:rPr>
          <w:rFonts w:ascii="Times New Roman" w:cs="Times New Roman" w:eastAsia="Times New Roman" w:hAnsi="Times New Roman"/>
          <w:i w:val="1"/>
          <w:sz w:val="24"/>
          <w:szCs w:val="24"/>
          <w:rtl w:val="0"/>
        </w:rPr>
        <w:t xml:space="preserve">ICE Virtual Library</w:t>
      </w:r>
      <w:r w:rsidDel="00000000" w:rsidR="00000000" w:rsidRPr="00000000">
        <w:rPr>
          <w:rFonts w:ascii="Times New Roman" w:cs="Times New Roman" w:eastAsia="Times New Roman" w:hAnsi="Times New Roman"/>
          <w:sz w:val="24"/>
          <w:szCs w:val="24"/>
          <w:rtl w:val="0"/>
        </w:rPr>
        <w:t xml:space="preserve">. Rep. Precedings of The Institution of Civil </w:t>
        <w:br w:type="textWrapping"/>
        <w:tab/>
        <w:t xml:space="preserve">Engineers, 17 June 2015. Web. 22 Feb. 2017.</w:t>
      </w:r>
      <w:r w:rsidDel="00000000" w:rsidR="00000000" w:rsidRPr="00000000">
        <w:br w:type="page"/>
      </w:r>
    </w:p>
    <w:p w:rsidR="00000000" w:rsidDel="00000000" w:rsidP="00000000" w:rsidRDefault="00000000" w:rsidRPr="00000000">
      <w:pPr>
        <w:pBdr/>
        <w:spacing w:line="480" w:lineRule="auto"/>
        <w:ind w:left="0" w:right="0" w:firstLine="0"/>
        <w:contextualSpacing w:val="0"/>
        <w:rPr>
          <w:sz w:val="24"/>
          <w:szCs w:val="24"/>
        </w:rPr>
      </w:pPr>
      <w:r w:rsidDel="00000000" w:rsidR="00000000" w:rsidRPr="00000000">
        <w:rPr>
          <w:rtl w:val="0"/>
        </w:rPr>
      </w:r>
    </w:p>
    <w:p w:rsidR="00000000" w:rsidDel="00000000" w:rsidP="00000000" w:rsidRDefault="00000000" w:rsidRPr="00000000">
      <w:pPr>
        <w:pBdr/>
        <w:spacing w:line="331.2" w:lineRule="auto"/>
        <w:contextualSpacing w:val="0"/>
        <w:jc w:val="center"/>
        <w:rPr>
          <w:sz w:val="24"/>
          <w:szCs w:val="24"/>
        </w:rPr>
      </w:pPr>
      <w:r w:rsidDel="00000000" w:rsidR="00000000" w:rsidRPr="00000000">
        <w:rPr>
          <w:rtl w:val="0"/>
        </w:rPr>
      </w:r>
    </w:p>
    <w:p w:rsidR="00000000" w:rsidDel="00000000" w:rsidP="00000000" w:rsidRDefault="00000000" w:rsidRPr="00000000">
      <w:pPr>
        <w:pBdr/>
        <w:spacing w:line="331.2" w:lineRule="auto"/>
        <w:contextualSpacing w:val="0"/>
        <w:jc w:val="center"/>
        <w:rPr>
          <w:sz w:val="24"/>
          <w:szCs w:val="24"/>
        </w:rPr>
      </w:pPr>
      <w:r w:rsidDel="00000000" w:rsidR="00000000" w:rsidRPr="00000000">
        <w:rPr>
          <w:sz w:val="24"/>
          <w:szCs w:val="24"/>
          <w:rtl w:val="0"/>
        </w:rPr>
        <w:t xml:space="preserve">Graphic Organizer</w:t>
      </w:r>
    </w:p>
    <w:p w:rsidR="00000000" w:rsidDel="00000000" w:rsidP="00000000" w:rsidRDefault="00000000" w:rsidRPr="00000000">
      <w:pPr>
        <w:pBdr/>
        <w:spacing w:line="331.2" w:lineRule="auto"/>
        <w:contextualSpacing w:val="0"/>
        <w:jc w:val="left"/>
        <w:rPr>
          <w:i w:val="1"/>
        </w:rPr>
      </w:pPr>
      <w:r w:rsidDel="00000000" w:rsidR="00000000" w:rsidRPr="00000000">
        <w:rPr>
          <w:i w:val="1"/>
          <w:rtl w:val="0"/>
        </w:rPr>
        <w:br w:type="textWrapping"/>
        <w:t xml:space="preserve">Name: Hayden Shedd</w:t>
      </w:r>
    </w:p>
    <w:tbl>
      <w:tblPr>
        <w:tblStyle w:val="Table1"/>
        <w:bidiVisual w:val="0"/>
        <w:tblW w:w="9075.0" w:type="dxa"/>
        <w:jc w:val="left"/>
        <w:tblLayout w:type="fixed"/>
        <w:tblLook w:val="0600"/>
      </w:tblPr>
      <w:tblGrid>
        <w:gridCol w:w="2670"/>
        <w:gridCol w:w="6405"/>
        <w:tblGridChange w:id="0">
          <w:tblGrid>
            <w:gridCol w:w="2670"/>
            <w:gridCol w:w="6405"/>
          </w:tblGrid>
        </w:tblGridChange>
      </w:tblGrid>
      <w:tr>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pPr>
            <w:r w:rsidDel="00000000" w:rsidR="00000000" w:rsidRPr="00000000">
              <w:rPr>
                <w:rtl w:val="0"/>
              </w:rPr>
              <w:t xml:space="preserve">Source #____ Bibliography</w:t>
            </w:r>
          </w:p>
          <w:p w:rsidR="00000000" w:rsidDel="00000000" w:rsidP="00000000" w:rsidRDefault="00000000" w:rsidRPr="00000000">
            <w:pPr>
              <w:pBdr/>
              <w:spacing w:line="331.2" w:lineRule="auto"/>
              <w:contextualSpacing w:val="0"/>
              <w:rPr/>
            </w:pPr>
            <w:r w:rsidDel="00000000" w:rsidR="00000000" w:rsidRPr="00000000">
              <w:rPr>
                <w:rtl w:val="0"/>
              </w:rPr>
              <w:t xml:space="preserve">(MLA or APA)</w:t>
            </w:r>
          </w:p>
          <w:p w:rsidR="00000000" w:rsidDel="00000000" w:rsidP="00000000" w:rsidRDefault="00000000" w:rsidRPr="00000000">
            <w:pPr>
              <w:pBdr/>
              <w:spacing w:line="331.2"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Pippard, Professor A. J. </w:t>
            </w:r>
            <w:r w:rsidDel="00000000" w:rsidR="00000000" w:rsidRPr="00000000">
              <w:rPr>
                <w:i w:val="1"/>
                <w:rtl w:val="0"/>
              </w:rPr>
              <w:t xml:space="preserve">ICE Virtual Library</w:t>
            </w:r>
            <w:r w:rsidDel="00000000" w:rsidR="00000000" w:rsidRPr="00000000">
              <w:rPr>
                <w:rtl w:val="0"/>
              </w:rPr>
              <w:t xml:space="preserve">. Rep. Precedings of The Institution of Civil Engineers, 17 June 2015. Web. 22 Feb. 2017. </w:t>
            </w:r>
          </w:p>
        </w:tc>
      </w:tr>
      <w:tr>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pPr>
            <w:r w:rsidDel="00000000" w:rsidR="00000000" w:rsidRPr="00000000">
              <w:rPr>
                <w:rtl w:val="0"/>
              </w:rPr>
              <w:t xml:space="preserve">Annotation:</w:t>
            </w:r>
          </w:p>
          <w:p w:rsidR="00000000" w:rsidDel="00000000" w:rsidP="00000000" w:rsidRDefault="00000000" w:rsidRPr="00000000">
            <w:pPr>
              <w:pBdr/>
              <w:spacing w:line="331.2" w:lineRule="auto"/>
              <w:contextualSpacing w:val="0"/>
              <w:rPr/>
            </w:pPr>
            <w:r w:rsidDel="00000000" w:rsidR="00000000" w:rsidRPr="00000000">
              <w:rPr>
                <w:rtl w:val="0"/>
              </w:rPr>
              <w:t xml:space="preserve">(Describe ALL info. that might be important for your paper. Explain to the reader and/or summarize what might be found in this source)</w:t>
            </w:r>
          </w:p>
          <w:p w:rsidR="00000000" w:rsidDel="00000000" w:rsidP="00000000" w:rsidRDefault="00000000" w:rsidRPr="00000000">
            <w:pPr>
              <w:pBdr/>
              <w:spacing w:line="331.2"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Kids make up their mind about what they want to do and not want to do before they have any experience or knowledge about a field. This hurts them more than anything because there are classes called CTIE that are designed around a particular field to give the students classroom experience of a field they chose to test it out and see if it is right for them.</w:t>
            </w:r>
          </w:p>
          <w:p w:rsidR="00000000" w:rsidDel="00000000" w:rsidP="00000000" w:rsidRDefault="00000000" w:rsidRPr="00000000">
            <w:pPr>
              <w:pBdr/>
              <w:contextualSpacing w:val="0"/>
              <w:rPr/>
            </w:pPr>
            <w:r w:rsidDel="00000000" w:rsidR="00000000" w:rsidRPr="00000000">
              <w:rPr>
                <w:rtl w:val="0"/>
              </w:rPr>
              <w:t xml:space="preserve">Engineering is a difficult field to become a part of, because it requires a lot of discipline, and mental ability to solve problems and work through, but through those challenges; it allows them to reap the rewards of completing the challenging task and working diligently to complete it in a constricted amount of time, which is in any job.</w:t>
            </w:r>
          </w:p>
        </w:tc>
      </w:tr>
      <w:tr>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pPr>
            <w:r w:rsidDel="00000000" w:rsidR="00000000" w:rsidRPr="00000000">
              <w:rPr>
                <w:rtl w:val="0"/>
              </w:rPr>
              <w:t xml:space="preserve">Potential Quotes:</w:t>
            </w:r>
          </w:p>
          <w:p w:rsidR="00000000" w:rsidDel="00000000" w:rsidP="00000000" w:rsidRDefault="00000000" w:rsidRPr="00000000">
            <w:pPr>
              <w:pBdr/>
              <w:spacing w:line="331.2" w:lineRule="auto"/>
              <w:contextualSpacing w:val="0"/>
              <w:rPr/>
            </w:pPr>
            <w:r w:rsidDel="00000000" w:rsidR="00000000" w:rsidRPr="00000000">
              <w:rPr>
                <w:rtl w:val="0"/>
              </w:rPr>
              <w:t xml:space="preserve">(Are there any significant quotes you can use or paraphrase from this source?)</w:t>
            </w:r>
          </w:p>
          <w:p w:rsidR="00000000" w:rsidDel="00000000" w:rsidP="00000000" w:rsidRDefault="00000000" w:rsidRPr="00000000">
            <w:pPr>
              <w:pBdr/>
              <w:spacing w:line="331.2"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“Engineering is unattractive to the top boys in the science sixt forms of our schools” (Pippard 1).</w:t>
            </w:r>
          </w:p>
          <w:p w:rsidR="00000000" w:rsidDel="00000000" w:rsidP="00000000" w:rsidRDefault="00000000" w:rsidRPr="00000000">
            <w:pPr>
              <w:pBdr/>
              <w:contextualSpacing w:val="0"/>
              <w:rPr/>
            </w:pPr>
            <w:r w:rsidDel="00000000" w:rsidR="00000000" w:rsidRPr="00000000">
              <w:rPr>
                <w:rtl w:val="0"/>
              </w:rPr>
              <w:t xml:space="preserve">“The qualities required for success as an engineer, …, are mental ability and character, or personality” (Pippard 3).</w:t>
            </w:r>
          </w:p>
          <w:p w:rsidR="00000000" w:rsidDel="00000000" w:rsidP="00000000" w:rsidRDefault="00000000" w:rsidRPr="00000000">
            <w:pPr>
              <w:pBdr/>
              <w:contextualSpacing w:val="0"/>
              <w:rPr/>
            </w:pPr>
            <w:r w:rsidDel="00000000" w:rsidR="00000000" w:rsidRPr="00000000">
              <w:rPr>
                <w:rtl w:val="0"/>
              </w:rPr>
              <w:t xml:space="preserve">“There are fortunately many boy who want nothing better than to become engineers” (Pippard 4).</w:t>
            </w:r>
          </w:p>
          <w:p w:rsidR="00000000" w:rsidDel="00000000" w:rsidP="00000000" w:rsidRDefault="00000000" w:rsidRPr="00000000">
            <w:pPr>
              <w:pBdr/>
              <w:contextualSpacing w:val="0"/>
              <w:rPr/>
            </w:pPr>
            <w:r w:rsidDel="00000000" w:rsidR="00000000" w:rsidRPr="00000000">
              <w:rPr>
                <w:rtl w:val="0"/>
              </w:rPr>
              <w:t xml:space="preserve">“Engineering will give them the scope, the satisfaction, and the rewards they have the right to expect” (Pippard 5).</w:t>
            </w:r>
          </w:p>
        </w:tc>
      </w:tr>
      <w:tr>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pPr>
            <w:r w:rsidDel="00000000" w:rsidR="00000000" w:rsidRPr="00000000">
              <w:rPr>
                <w:rtl w:val="0"/>
              </w:rPr>
              <w:t xml:space="preserve">Assessment:</w:t>
            </w:r>
          </w:p>
          <w:p w:rsidR="00000000" w:rsidDel="00000000" w:rsidP="00000000" w:rsidRDefault="00000000" w:rsidRPr="00000000">
            <w:pPr>
              <w:pBdr/>
              <w:spacing w:line="331.2" w:lineRule="auto"/>
              <w:contextualSpacing w:val="0"/>
              <w:rPr/>
            </w:pPr>
            <w:r w:rsidDel="00000000" w:rsidR="00000000" w:rsidRPr="00000000">
              <w:rPr>
                <w:rtl w:val="0"/>
              </w:rPr>
              <w:t xml:space="preserve">(Analyze and explain why this source is credible)</w:t>
            </w:r>
          </w:p>
          <w:p w:rsidR="00000000" w:rsidDel="00000000" w:rsidP="00000000" w:rsidRDefault="00000000" w:rsidRPr="00000000">
            <w:pPr>
              <w:pBdr/>
              <w:spacing w:line="331.2"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This is a credible source, even though the domain is a dot com, it is a publishing company that publishes engineering research and other findings from schools, professors, or even credible students.</w:t>
            </w:r>
          </w:p>
        </w:tc>
      </w:tr>
      <w:tr>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spacing w:line="331.2" w:lineRule="auto"/>
              <w:contextualSpacing w:val="0"/>
              <w:rPr/>
            </w:pPr>
            <w:r w:rsidDel="00000000" w:rsidR="00000000" w:rsidRPr="00000000">
              <w:rPr>
                <w:rtl w:val="0"/>
              </w:rPr>
              <w:t xml:space="preserve">Reflection (not the summary):</w:t>
            </w:r>
          </w:p>
          <w:p w:rsidR="00000000" w:rsidDel="00000000" w:rsidP="00000000" w:rsidRDefault="00000000" w:rsidRPr="00000000">
            <w:pPr>
              <w:pBdr/>
              <w:spacing w:line="331.2" w:lineRule="auto"/>
              <w:contextualSpacing w:val="0"/>
              <w:rPr/>
            </w:pPr>
            <w:r w:rsidDel="00000000" w:rsidR="00000000" w:rsidRPr="00000000">
              <w:rPr>
                <w:rtl w:val="0"/>
              </w:rPr>
              <w:t xml:space="preserve">(How will you potentially use it?)</w:t>
            </w:r>
          </w:p>
          <w:p w:rsidR="00000000" w:rsidDel="00000000" w:rsidP="00000000" w:rsidRDefault="00000000" w:rsidRPr="00000000">
            <w:pPr>
              <w:pBdr/>
              <w:spacing w:line="331.2" w:lineRule="auto"/>
              <w:contextualSpacing w:val="0"/>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I will use this to describe why we need more engineers and how to attract them, and show my survey how it corresponds to the findings in this document.</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153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